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1686560</wp:posOffset>
            </wp:positionH>
            <wp:positionV relativeFrom="paragraph">
              <wp:posOffset>-798195</wp:posOffset>
            </wp:positionV>
            <wp:extent cx="2463800" cy="1115060"/>
            <wp:effectExtent l="0" t="0" r="0" b="0"/>
            <wp:wrapNone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</w:rPr>
      </w:pPr>
      <w:r>
        <w:rPr>
          <w:color w:val="000000"/>
        </w:rPr>
        <w:t>Regulamin konkursu grantowego 2022</w:t>
      </w:r>
      <w:r>
        <w:rPr>
          <w:b/>
          <w:color w:val="000000"/>
        </w:rPr>
        <w:t xml:space="preserve"> </w:t>
      </w:r>
      <w:r>
        <w:rPr>
          <w:color w:val="000000"/>
        </w:rPr>
        <w:br/>
      </w:r>
      <w:r>
        <w:rPr>
          <w:b/>
          <w:color w:val="000000"/>
        </w:rPr>
        <w:t>Nowy AKUMULATOR SPOŁECZNY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Nabór dodatkowy dla powiatu lęborskiego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>Nowy AKUMULATOR SPOŁECZNY to przyjazny, trwały i innowacyjny fundusz, mający na celu pobudzanie aktywności społecznej mieszkanek i mieszkańców Pomorza. Skierowany jest do grup nieformalnych i organizacji pozarządowych, działających na rzecz dobra wspólnego.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Fundusz budowany jest w partnerstwie organizacji pozarządowych z województwa pomorskiego: </w:t>
        <w:br/>
        <w:t xml:space="preserve">Pomorskiej Sieci Centrów Organizacji Pozarządowych, Centrum Inicjatyw Obywatelskich, Fundacji Pokolenia, Stowarzyszenia EDUQ, Fundacji Rozwoju Lokalnego PARASOL, Lokalnej Grupy Działania Ziemi Człuchowskiej, Regionalnego Centrum Informacji i Wspomagania Organizacji Pozarządowych, </w:t>
        <w:br/>
        <w:t xml:space="preserve">Fundacji Edukacji i Działań Społecznych, Fundacji Strefa Mocy i Lokalnej Grupy Działania „Chata Kociewia” we współpracy z Fundacją MAPA Obywatelska, Stowarzyszeniem OŚ, Fundacją Dla Was, </w:t>
        <w:br/>
        <w:t xml:space="preserve">Stowarzyszeniem Na Drodze Ekspresji, Fundacją Mikroakademia, Stowarzyszeniem In gremio, </w:t>
        <w:br/>
        <w:t xml:space="preserve">Lokalną Grupą Rybacką Mòrénka, Stowarzyszeniem Północnokaszubka Lokalna Grupa Rybacka </w:t>
        <w:br/>
        <w:t>i Stowarzyszeniem „Na Rzecz Rozwoju Miasta i Gminy Debrzno”.</w:t>
      </w:r>
    </w:p>
    <w:p>
      <w:pPr>
        <w:pStyle w:val="Normal"/>
        <w:tabs>
          <w:tab w:val="clear" w:pos="720"/>
          <w:tab w:val="left" w:pos="7464" w:leader="none"/>
        </w:tabs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br/>
        <w:t xml:space="preserve">Otwartość, zaufanie i solidarność to wartości naszego partnerstwa i fundamenty </w:t>
      </w:r>
    </w:p>
    <w:p>
      <w:pPr>
        <w:pStyle w:val="Normal"/>
        <w:tabs>
          <w:tab w:val="clear" w:pos="720"/>
          <w:tab w:val="left" w:pos="7464" w:leader="none"/>
        </w:tabs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Funduszu Nowy AKUMULATOR SPOŁECZNY.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Profesjonalnie wspieramy działania mieszkanek i mieszkańców Pomorza poprzez doradztwo, szkolenia, animację i granty. Zasilamy społeczną energię i pomysłowość Pomorzan.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120"/>
        <w:jc w:val="center"/>
        <w:rPr>
          <w:color w:val="000000"/>
        </w:rPr>
      </w:pPr>
      <w:r>
        <w:rPr>
          <w:b/>
          <w:color w:val="000000"/>
        </w:rPr>
        <w:t>I. ZAŁOŻENIA ORAZ CEL KONKURSU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color w:val="000000"/>
        </w:rPr>
        <w:t>Fundusz nowy AKUMULATOR SPOŁECZNY</w:t>
      </w:r>
      <w:r>
        <w:rPr>
          <w:color w:val="000000"/>
        </w:rPr>
        <w:t xml:space="preserve"> jest współfinansowany przez Narodowy Instytut Wolności - Centrum Rozwoju Społeczeństwa Obywatelskiego w ramach Rządowego Programu Fundusz Inicjatyw Obywatelskich NOWEFIO na lata 2021-2030.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Wszystkie projekty realizowane dzięki dofinansowaniu muszą pośrednio zmierzać do osiągnięcia </w:t>
        <w:br/>
        <w:t xml:space="preserve">celu głównego i celów szczegółowych Programu Fundusz Inicjatyw Obywatelskich NOWEFIO </w:t>
        <w:br/>
        <w:t>na lata 2021-2030 tj.: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  <w:u w:val="single"/>
        </w:rPr>
        <w:t>Cel główny</w:t>
      </w:r>
      <w:r>
        <w:rPr>
          <w:color w:val="000000"/>
        </w:rPr>
        <w:t xml:space="preserve">: zwiększenie zaangażowania obywateli i organizacji pozarządowych w życie publiczne przez poprawę samoorganizacji społecznej, wzrost znaczenia sektora obywatelskiego w życiu publicznym oraz wzmocnienie instytucjonalne sektora obywatelskiego w Polsce.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  <w:u w:val="single"/>
        </w:rPr>
        <w:t>Cele szczegółowe</w:t>
      </w:r>
      <w:r>
        <w:rPr>
          <w:color w:val="000000"/>
        </w:rPr>
        <w:t>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65" w:hanging="705"/>
        <w:jc w:val="both"/>
        <w:rPr>
          <w:color w:val="000000"/>
        </w:rPr>
      </w:pPr>
      <w:r>
        <w:rPr>
          <w:color w:val="000000"/>
        </w:rPr>
        <w:t>Poprawa samoorganizacji społecznej.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65" w:hanging="705"/>
        <w:jc w:val="both"/>
        <w:rPr>
          <w:color w:val="000000"/>
        </w:rPr>
      </w:pPr>
      <w:r>
        <w:rPr>
          <w:color w:val="000000"/>
        </w:rPr>
        <w:t>Wzrost znaczenia sektora obywatelskiego w życiu publicznym.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65" w:hanging="705"/>
        <w:jc w:val="both"/>
        <w:rPr>
          <w:color w:val="000000"/>
        </w:rPr>
      </w:pPr>
      <w:r>
        <w:rPr>
          <w:color w:val="000000"/>
        </w:rPr>
        <w:t>Wzmocnienie instytucjonalne sektora obywatelskiego w Polsce.</w:t>
      </w:r>
    </w:p>
    <w:p>
      <w:pPr>
        <w:pStyle w:val="Normal"/>
        <w:spacing w:lineRule="auto" w:line="240" w:before="0" w:after="0"/>
        <w:ind w:left="1065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>W ramach konkursu można się ubiegać o jeden z następujących rodzajów dofinansowania:</w:t>
      </w:r>
    </w:p>
    <w:p>
      <w:pPr>
        <w:pStyle w:val="Normal"/>
        <w:spacing w:lineRule="auto" w:line="240" w:before="0" w:after="60"/>
        <w:ind w:left="284" w:hanging="0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• </w:t>
      </w:r>
      <w:r>
        <w:rPr>
          <w:b/>
          <w:color w:val="000000"/>
        </w:rPr>
        <w:t xml:space="preserve">na działania ze sfery pożytku publicznego (mini-grant do 1 000 zł lub grant do </w:t>
      </w:r>
      <w:r>
        <w:rPr>
          <w:b/>
        </w:rPr>
        <w:t>5</w:t>
      </w:r>
      <w:r>
        <w:rPr>
          <w:b/>
          <w:color w:val="000000"/>
        </w:rPr>
        <w:t xml:space="preserve"> </w:t>
      </w:r>
      <w:r>
        <w:rPr>
          <w:b/>
        </w:rPr>
        <w:t>7</w:t>
      </w:r>
      <w:r>
        <w:rPr>
          <w:b/>
          <w:color w:val="000000"/>
        </w:rPr>
        <w:t>00 zł),</w:t>
      </w:r>
    </w:p>
    <w:p>
      <w:pPr>
        <w:pStyle w:val="Normal"/>
        <w:spacing w:lineRule="auto" w:line="240" w:before="0" w:after="60"/>
        <w:ind w:left="284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Dofinansowanie można przeznaczyć na: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color w:val="000000"/>
        </w:rPr>
        <w:t>1. realizację działań w dowolnej ze sfer pożytku publicznego, tj. w sferze: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pomocy społecznej, w tym pomocy rodzinom i osobom w trudnej sytuacji życiowej oraz wyrównywania szans tych rodzin i osób;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1a) wspierania rodziny i systemu pieczy zastępczej;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1b) udzielania nieodpłatnej pomocy prawnej oraz zwiększania świadomości prawnej społeczeństwa;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działalności na rzecz integracji i reintegracji zawodowej i społecznej osób zagrożonych wykluczeniem społecznym;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działalności charytatywnej;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podtrzymywania i upowszechniania tradycji narodowej, pielęgnowania polskości oraz rozwoju świadomości narodowej, obywatelskiej i kulturowej;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działalności na rzecz mniejszości narodowych i etnicznych oraz języka regionalnego;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5a) działalności na rzecz integracji cudzoziemców;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ochrony i promocji zdrowia, w tym działalności leczniczej w rozumieniu ustawy z dnia 15 kwietnia 2011r. </w:t>
        <w:br/>
        <w:t xml:space="preserve">o działalności leczniczej (Dz. U. z 2015 r. poz. 618, 788 i 905);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7) działalności na rzecz osób niepełnosprawnych;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8) promocji zatrudnienia i aktywizacji zawodowej osób pozostających bez pracy i zagrożonych zwolnieniem </w:t>
        <w:br/>
        <w:t xml:space="preserve">z pracy;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9) działalności na rzecz równych praw kobiet i mężczyzn;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10) działalności na rzecz osób w wieku emerytalnym;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11) działalności wspomagającej rozwój gospodarczy, w tym rozwój przedsiębiorczości;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12) działalności wspomagającej rozwój techniki, wynalazczości i innowacyjności oraz rozpowszechnianie </w:t>
        <w:br/>
        <w:t xml:space="preserve">i wdrażanie nowych rozwiązań technicznych w praktyce gospodarczej;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13) działalności wspomagającej rozwój wspólnot i społeczności lokalnych;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14) nauki, szkolnictwa wyższego, edukacji, oświaty i wychowania;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15) działalności na rzecz dzieci i młodzieży, w tym wypoczynku dzieci i młodzieży;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16) kultury, sztuki, ochrony dóbr kultury i dziedzictwa narodowego;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17) wspierania i upowszechniania kultury fizycznej;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18) ekologii i ochrony zwierząt oraz ochrony dziedzictwa przyrodniczego;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19) turystyki i krajoznawstwa;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20) porządku i bezpieczeństwa publicznego;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21) obronności państwa i działalności Sił Zbrojnych Rzeczypospolitej Polskiej;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22) upowszechniania i ochrony wolności i praw człowieka oraz swobód obywatelskich, a także działań wspomagających rozwój demokracji;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22a) udzielania nieodpłatnego poradnictwa obywatelskiego;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23) ratownictwa i ochrony ludności;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24) pomocy ofiarom katastrof, klęsk żywiołowych, konfliktów zbrojnych i wojen w kraju i za granicą;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25) upowszechniania i ochrony praw konsumentów;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26) działalności na rzecz integracji europejskiej oraz rozwijania kontaktów i współpracy między społeczeństwami;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27) promocji i organizacji wolontariatu;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28) pomocy Polonii i Polakom za granicą;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29) działalności na rzecz kombatantów i osób represjonowanych;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29a) działalność na rzecz weteranów i weteranów poszkodowanych w rozumieniu ustawy z dnia 19 sierpnia 2011 r. o weteranach działań poza granicami państwa;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30) promocji Rzeczypospolitej Polskiej za granicą; </w:t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31) działalności na rzecz rodziny, macierzyństwa, rodzicielstwa, upowszechniania i ochrony praw dziecka; </w:t>
        <w:br/>
        <w:t xml:space="preserve">32) przeciwdziałania uzależnieniom i patologiom społecznym; </w:t>
      </w:r>
    </w:p>
    <w:p>
      <w:pPr>
        <w:pStyle w:val="Normal"/>
        <w:spacing w:lineRule="auto" w:line="240" w:before="0" w:after="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33) działalności na rzecz organizacji pozarządowych oraz podmiotów wymienionych w art. 3 ust. 3, w zakresie określonym w pkt 1–32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jc w:val="left"/>
        <w:rPr>
          <w:color w:val="000000"/>
        </w:rPr>
      </w:pPr>
      <w:r>
        <w:rPr/>
        <w:t xml:space="preserve">                                      </w:t>
      </w:r>
      <w:r>
        <w:rPr>
          <w:b/>
          <w:color w:val="000000"/>
        </w:rPr>
        <w:t>II. KTO MOŻE UBIEGAĆ SIĘ O DOFINANSOWANIE?</w:t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color w:val="000000"/>
        </w:rPr>
        <w:t>Program adresowany jest do: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59" w:before="0" w:after="60"/>
        <w:ind w:left="357" w:right="0" w:hanging="35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młodych organizacji pozarządowych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posiadających osobowość (lub tzw. ułomną osobowość) prawną (wpisanych do KRS lub rejestru prowadzonego przez Starostwo Powiatowe </w:t>
        <w:br/>
        <w:t xml:space="preserve">– w przypadku klubów sportowych i stowarzyszeń zwykłych lub rejestru prowadzonego </w:t>
        <w:br/>
        <w:t xml:space="preserve">przez </w:t>
      </w:r>
      <w:r>
        <w:rPr/>
        <w:t>Agencję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Restrukturyzacji i Modernizacji Rolnictwa – w przypadku kół gospodyń wiejskich) zarejestrowanych nie wcześniej niż 60 miesięcy temu (liczone do dnia złożenia wniosku </w:t>
        <w:br/>
        <w:t>o dofinansowanie) i których roczny budżet nie przekracza 30 000 złotych lub będących w trakcie procesu rejestracji (tj. fundacji, stowarzyszeń, oddziałów Caritas zarejestrowanych w KRS, klubów sportowych i stowarzyszeń zwykłych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zarejestrowanych w ewidencji Starosty i KGW w rejestrze ARiMR),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 wyłączeniem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fundacji skarbu państwa i ich oddziałów, fundacji utworzonych </w:t>
        <w:br/>
        <w:t xml:space="preserve">przez partie polityczne, spółdzielni socjalnych i mieszkaniowych, stowarzyszeń samorządów lokalnych, Lokalnych Grup Działania i Lokalnych Grup Rybackich, Lokalnych Organizacji Turystycznych (działających na podstawie Ustawy z dnia 25 czerwca 1999 r. o Polskiej Organizacji Turystycznej i w oparciu o ustawę prawo o stowarzyszeniach, zgodnie z Art. 4. Ustawy o POT) oraz związków stowarzyszeń. Do konkursu nie mogą aplikować organizacje </w:t>
        <w:br/>
        <w:t>w likwidacji!</w:t>
      </w:r>
    </w:p>
    <w:p>
      <w:pPr>
        <w:pStyle w:val="Normal"/>
        <w:spacing w:lineRule="auto" w:line="240" w:before="0" w:after="60"/>
        <w:ind w:left="357" w:hanging="0"/>
        <w:jc w:val="both"/>
        <w:rPr>
          <w:color w:val="000000"/>
        </w:rPr>
      </w:pPr>
      <w:r>
        <w:rPr>
          <w:color w:val="000000"/>
        </w:rPr>
        <w:t>W przypadku dotacji na rozwój młodych organizacji wnioskodawcą może być jedynie zarejestrowany podmiot!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59" w:before="0" w:after="60"/>
        <w:ind w:left="357" w:right="0" w:hanging="35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grup nieformalnych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(tutaj: także oddziały terenowe organizacji nieposiadające osobowości prawnej)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 w tym grup samopomocowych, w których imieniu wniosek złoży organizacja pozarządowa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(jak wyżej, z dopuszczeniem organizacji działających dłużej niż 60 miesięcy oraz tych, których roczny budżet przekracza 30 tys. zł). Grupa nieformalna to minimum 3 osoby realizujące lub chcące realizować wspólnie działania w sferze pożytku publicznego, a nie posiadające osobowości prawnej. Grupa samopomocowa to grupa nieformalna działająca głównie na rzecz swoich członków oraz własnego otoczenia.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59" w:before="0" w:after="60"/>
        <w:ind w:left="357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dofinansowanie mogą się ubiegać także grupy młodzieżowe (np. drużyny harcerskie, koła zainteresowań, grupy składające się z wolontariuszy, uczniów czy studentów)!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grup nieformalnych, w tym grup samopomocowych, występujących z wnioskiem samodzielnie.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Podmioty niewymienione powyżej nie mogą składać wniosków do konkursu!</w:t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b/>
          <w:color w:val="000000"/>
          <w:u w:val="single"/>
        </w:rPr>
        <w:t>Do konkursu można złożyć maksymalnie 1 wniosek</w:t>
      </w:r>
      <w:r>
        <w:rPr>
          <w:b/>
          <w:color w:val="000000"/>
        </w:rPr>
        <w:t>.</w:t>
      </w:r>
      <w:r>
        <w:rPr>
          <w:color w:val="000000"/>
        </w:rPr>
        <w:t xml:space="preserve"> Młoda organizacja pozarządowa wnioskująca </w:t>
        <w:br/>
        <w:t>o dotację na własny projekt powinna wybrać rodzaj dotacji – czy realizować będzie działania ze sfery pożytku publicznego, czy jednak inwestować będzie we własny rozwój – i adekwatnie do tego odpowiedni formularz aplikacyjny. Limit 1 wniosku nie dotyczy sytuacji, kiedy organizacja „udziela osobowości prawnej” kilku grupom nieformalnym bądź sama wnioskuje i jednocześnie występuje jako patron grupy nieformalnej!</w:t>
      </w:r>
    </w:p>
    <w:p>
      <w:pPr>
        <w:pStyle w:val="Normal"/>
        <w:spacing w:lineRule="auto" w:line="240" w:before="0" w:after="240"/>
        <w:jc w:val="both"/>
        <w:rPr>
          <w:color w:val="000000"/>
        </w:rPr>
      </w:pPr>
      <w:r>
        <w:rPr>
          <w:color w:val="000000"/>
        </w:rPr>
        <w:t xml:space="preserve">O ile to możliwe, zachęcamy grupy nieformalne do nawiązania współpracy z organizacją pozarządową, celem złożenia wniosku aplikacyjnego do konkursu. W sytuacji, gdy w najbliższym otoczeniu nie ma żadnej organizacji, która mogłaby „użyczyć osobowości prawnej”, grupa może samodzielnie zwrócić </w:t>
      </w:r>
    </w:p>
    <w:p>
      <w:pPr>
        <w:pStyle w:val="Normal"/>
        <w:spacing w:lineRule="auto" w:line="240" w:before="0" w:after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24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>
          <w:color w:val="000000"/>
        </w:rPr>
      </w:pPr>
      <w:r>
        <w:rPr>
          <w:color w:val="000000"/>
        </w:rPr>
        <w:t>się o właściwego Operatora (lista podmiotów znajduje się w części VI niniejszego Regulaminu)</w:t>
        <w:br/>
        <w:t xml:space="preserve">z wnioskiem, </w:t>
      </w:r>
      <w:r>
        <w:rPr>
          <w:color w:val="000000"/>
          <w:u w:val="single"/>
        </w:rPr>
        <w:t>jednakże wcześniej powinna z nim ten fakt skonsultować</w:t>
      </w:r>
      <w:r>
        <w:rPr>
          <w:color w:val="000000"/>
        </w:rPr>
        <w:t>.</w:t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>
          <w:b/>
          <w:color w:val="000000"/>
        </w:rPr>
        <w:t>W konkursie mogą wziąć udział te organizacje oraz grupy, które mają siedzibę i planują prowadzić działania na terenie województwa pomorskiego! Adresatami projektów muszą być przede wszystkim osoby mieszkające w województwie pomorskim!</w:t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b/>
          <w:color w:val="000000"/>
        </w:rPr>
        <w:t>III. JAKIEGO RODZAJU KOSZTY MOGĄ BYĆ FINANSOWANE?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Z otrzymanego wsparcia </w:t>
      </w:r>
      <w:r>
        <w:rPr>
          <w:color w:val="000000"/>
          <w:u w:val="single"/>
        </w:rPr>
        <w:t>można</w:t>
      </w:r>
      <w:r>
        <w:rPr>
          <w:color w:val="000000"/>
        </w:rPr>
        <w:t xml:space="preserve"> finansować koszty służące osiągnięciu zakładanych we wniosku celów, np.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color w:val="000000"/>
        </w:rPr>
        <w:t>a) w konkursie na dofinansowanie realizacji  inicjatywy lub projektu ze sfery pożytku publicznego: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zakup materiałów biurowych, artykułów plastycznych i innych materiałów, np. do zajęć </w:t>
        <w:br/>
        <w:t>i warsztatów,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koszty koordynacji i zarządzania projektem (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maks. 20% kwoty dotacji na koszty administracyjne, </w:t>
        <w:br/>
        <w:t>w tym do 10% na koszty rozliczenia projektu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koszty podróży krajowych i zagranicznych,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wynagrodzenia specjalistów, honoraria,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wynajem sal, sprzętu, nagłośnienia, transportu,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koszty druku oraz promocji,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20"/>
        <w:ind w:left="357" w:right="0" w:hanging="35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zakup elementów wyposażenia i sprzętu, jeżeli jest to merytorycznie uzasadnione.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 xml:space="preserve">UWAGA: maks. 25% kwoty wsparcia można przeznaczyć na rozwój </w:t>
      </w:r>
      <w:r>
        <w:rPr>
          <w:color w:val="000000"/>
          <w:u w:val="single"/>
        </w:rPr>
        <w:t>młodej organizacji pozarządowej</w:t>
      </w:r>
      <w:r>
        <w:rPr>
          <w:color w:val="000000"/>
        </w:rPr>
        <w:t>. Przykładowe wydatki mogą być tożsame z wyszczególnionymi w podpunkcie b) poniżej.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Z otrzymanego wsparcia </w:t>
      </w:r>
      <w:r>
        <w:rPr>
          <w:color w:val="000000"/>
          <w:u w:val="single"/>
        </w:rPr>
        <w:t>nie można</w:t>
      </w:r>
      <w:r>
        <w:rPr>
          <w:color w:val="000000"/>
        </w:rPr>
        <w:t xml:space="preserve"> finansować: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udzielania pożyczek,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przedsięwzięć, które zostały już zrealizowane,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celów religijnych i politycznych oraz uprawiania kultu religijnego,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zakupu środków trwałych i wyposażenia, który nie jest merytorycznie uzasadniony,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bezpośredniej pomocy finansowej dla osób fizycznych,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inwestycji (np. </w:t>
      </w:r>
      <w:bookmarkStart w:id="0" w:name="bookmark=id.gjdgxs"/>
      <w:bookmarkEnd w:id="0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zakup gruntów, budowa obiektów przemysłowych, oczyszczalni ścieków itp.),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podatku od towarów i usług, jeśli istnieje możliwość odzyskania lub odliczenia tego podatku,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tworzenia kapitału żelaznego organizacji,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kosztów ponoszonych za granicą,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kar, grzywien i odsetek karnych,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zakupu napojów alkoholowych, wyrobów tytoniowych i innych używek,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podstawowej działalności instytucji publicznych wynikającej z właściwych im ustaw,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0"/>
        <w:ind w:left="360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finansowania podatku dochodowego od osób prawnych,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120"/>
        <w:ind w:left="360" w:right="0" w:hanging="35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prowadzenia działalności gospodarczej.</w:t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>
          <w:b/>
          <w:color w:val="000000"/>
          <w:u w:val="single"/>
        </w:rPr>
        <w:t>W ramach konkursu nie można finansować zakupu środków trwałych, tj. produktów o wartości jednostkowej min. 10000zł (także w opcji współfinansowania wydatków z dotacji i innych źródeł)</w:t>
      </w:r>
      <w:r>
        <w:rPr>
          <w:b/>
          <w:color w:val="000000"/>
        </w:rPr>
        <w:t xml:space="preserve">! </w:t>
      </w:r>
    </w:p>
    <w:p>
      <w:pPr>
        <w:pStyle w:val="Normal"/>
        <w:spacing w:lineRule="auto" w:line="240" w:before="0" w:after="60"/>
        <w:jc w:val="both"/>
        <w:rPr/>
      </w:pPr>
      <w:r>
        <w:rPr/>
        <w:t>UWAGA: Od uczestników działań projektowych nie można pobierać opłat.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Koszty będą uznane za kwalifikowane tylko wtedy, gdy są bezpośrednio związane z realizowanym projektem; są niezbędne do jego realizacji oraz racjonalnie skalkulowane w oparciu o ceny rynkowe.</w:t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b/>
          <w:color w:val="000000"/>
        </w:rPr>
        <w:t>IV. SPOSÓB WYŁANIANIA REALIZATORÓW PROJEKTÓW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Operatorzy dokonają oceny formalnej w oparciu o następujące kryteria: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360" w:hanging="360"/>
        <w:jc w:val="both"/>
        <w:rPr>
          <w:color w:val="000000"/>
        </w:rPr>
      </w:pPr>
      <w:r>
        <w:rPr>
          <w:color w:val="000000"/>
        </w:rPr>
        <w:t xml:space="preserve">wniosek został złożony w trakcie konkursu, tj. </w:t>
      </w:r>
      <w:r>
        <w:rPr>
          <w:b/>
          <w:color w:val="000000"/>
        </w:rPr>
        <w:t xml:space="preserve">od </w:t>
      </w:r>
      <w:r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>
        <w:rPr>
          <w:b/>
        </w:rPr>
        <w:t>czerwca</w:t>
      </w:r>
      <w:r>
        <w:rPr>
          <w:b/>
          <w:color w:val="000000"/>
        </w:rPr>
        <w:t xml:space="preserve"> do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>
        <w:rPr>
          <w:b/>
        </w:rPr>
        <w:t>lipca</w:t>
      </w:r>
      <w:r>
        <w:rPr>
          <w:b/>
          <w:color w:val="000000"/>
        </w:rPr>
        <w:t xml:space="preserve"> 2022 – dla dotacji </w:t>
        <w:br/>
        <w:t xml:space="preserve">na realizację inicjatywy lub projektu ze sfery pożytku publicznego </w:t>
      </w:r>
      <w:r>
        <w:rPr>
          <w:color w:val="000000"/>
        </w:rPr>
        <w:t xml:space="preserve">w generatorze wniosków: </w:t>
      </w:r>
      <w:hyperlink r:id="rId3">
        <w:r>
          <w:rPr>
            <w:color w:val="000000"/>
            <w:u w:val="single"/>
          </w:rPr>
          <w:t>www.witkac.pl</w:t>
        </w:r>
      </w:hyperlink>
      <w:r>
        <w:rPr>
          <w:color w:val="000000"/>
        </w:rPr>
        <w:t xml:space="preserve"> i jest kompletny (tzn. zawiera odpowiedzi na wszystkie pytania).</w:t>
      </w:r>
    </w:p>
    <w:p>
      <w:pPr>
        <w:pStyle w:val="Normal"/>
        <w:spacing w:lineRule="auto" w:line="240" w:before="0" w:after="60"/>
        <w:ind w:left="357" w:hanging="0"/>
        <w:jc w:val="both"/>
        <w:rPr>
          <w:color w:val="000000"/>
        </w:rPr>
      </w:pPr>
      <w:r>
        <w:rPr>
          <w:b/>
          <w:color w:val="000000"/>
          <w:u w:val="single"/>
        </w:rPr>
        <w:t>UWAGA</w:t>
      </w:r>
      <w:r>
        <w:rPr>
          <w:b/>
          <w:color w:val="000000"/>
        </w:rPr>
        <w:t>:</w:t>
      </w:r>
      <w:r>
        <w:rPr>
          <w:color w:val="000000"/>
        </w:rPr>
        <w:t xml:space="preserve"> istnieje opcja wnioskowania poprzez przesłanie filmu maks. 5-minutowego, jako załącznika do formularza w </w:t>
      </w:r>
      <w:hyperlink r:id="rId4">
        <w:r>
          <w:rPr>
            <w:color w:val="000000"/>
            <w:u w:val="single"/>
          </w:rPr>
          <w:t>systemie on-line www.witkac.pl</w:t>
        </w:r>
      </w:hyperlink>
      <w:r>
        <w:rPr>
          <w:color w:val="000000"/>
        </w:rPr>
        <w:t xml:space="preserve"> (w takim przypadku należy wypełnić I, III i IV część wniosku oraz wpisać tytuł projektu, okres i miejsce realizacji w części II; opis przedsięwzięcia powinien znaleźć się w nagraniu wideo. Możliwe jest też podanie linku do filmiku nagranego przez grupę/organizację i opublikowanego w Internecie, np. na portalu YouTube – wówczas nie załącza się żadnych plików, a odnośnik do strony umieszcza się w części II formularza). </w:t>
      </w:r>
    </w:p>
    <w:p>
      <w:pPr>
        <w:pStyle w:val="Normal"/>
        <w:spacing w:lineRule="auto" w:line="240" w:before="0" w:after="60"/>
        <w:ind w:left="357" w:hanging="0"/>
        <w:jc w:val="both"/>
        <w:rPr>
          <w:color w:val="000000"/>
        </w:rPr>
      </w:pPr>
      <w:r>
        <w:rPr>
          <w:color w:val="000000"/>
          <w:u w:val="single"/>
        </w:rPr>
        <w:t>Wniosek w formie krótkiego filmu podlega takim samym zasadom oceny, jak pozostałe aplikacje.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360" w:hanging="360"/>
        <w:jc w:val="both"/>
        <w:rPr>
          <w:color w:val="000000"/>
        </w:rPr>
      </w:pPr>
      <w:r>
        <w:rPr>
          <w:color w:val="000000"/>
        </w:rPr>
        <w:t xml:space="preserve">wniosek jest złożony przez organizację lub grupę uprawnioną do udziału w konkursie, </w:t>
        <w:br/>
        <w:t>zgodnie z wytycznymi przedstawionymi w części II Regulaminu.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284"/>
        <w:jc w:val="both"/>
        <w:rPr>
          <w:color w:val="000000"/>
        </w:rPr>
      </w:pPr>
      <w:bookmarkStart w:id="1" w:name="_heading=h.30j0zll"/>
      <w:bookmarkEnd w:id="1"/>
      <w:r>
        <w:rPr>
          <w:color w:val="000000"/>
        </w:rPr>
        <w:t xml:space="preserve">harmonogram działań </w:t>
      </w:r>
      <w:r>
        <w:rPr>
          <w:b/>
          <w:color w:val="000000"/>
        </w:rPr>
        <w:t xml:space="preserve">na realizację inicjatywy lub projektu ze sfery pożytku publicznego </w:t>
      </w:r>
      <w:r>
        <w:rPr>
          <w:color w:val="000000"/>
        </w:rPr>
        <w:t xml:space="preserve">jest przewidziany na okres między </w:t>
      </w:r>
      <w:r>
        <w:rPr>
          <w:b/>
        </w:rPr>
        <w:t>11 lipca</w:t>
      </w:r>
      <w:r>
        <w:rPr>
          <w:b/>
          <w:color w:val="000000"/>
        </w:rPr>
        <w:t xml:space="preserve"> a 30 listopada 2022 r</w:t>
      </w:r>
      <w:r>
        <w:rPr>
          <w:color w:val="000000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284"/>
        <w:jc w:val="both"/>
        <w:rPr>
          <w:color w:val="000000"/>
        </w:rPr>
      </w:pPr>
      <w:r>
        <w:rPr>
          <w:color w:val="000000"/>
        </w:rPr>
        <w:t>przedstawiony we wniosku budżet jest prawidłowo wypełniony (nie zawiera błędów rachunkowych).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284"/>
        <w:jc w:val="both"/>
        <w:rPr>
          <w:color w:val="000000"/>
        </w:rPr>
      </w:pPr>
      <w:r>
        <w:rPr>
          <w:color w:val="000000"/>
        </w:rPr>
        <w:t xml:space="preserve">kwota wnioskowanego wsparcia finansowego nie przekracza </w:t>
      </w:r>
      <w:r>
        <w:rPr/>
        <w:t>5</w:t>
      </w:r>
      <w:r>
        <w:rPr>
          <w:color w:val="000000"/>
        </w:rPr>
        <w:t>.</w:t>
      </w:r>
      <w:r>
        <w:rPr/>
        <w:t>7</w:t>
      </w:r>
      <w:r>
        <w:rPr>
          <w:color w:val="000000"/>
        </w:rPr>
        <w:t xml:space="preserve">00 złotych na realizację inicjatywy lub projektu ze sfery pożytku publicznego (w przypadku mini-grantów – kwota wnioskowanego wsparcia finansowego nie przekracza 1 000 złotych) 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284"/>
        <w:jc w:val="both"/>
        <w:rPr>
          <w:color w:val="000000"/>
        </w:rPr>
      </w:pPr>
      <w:r>
        <w:rPr>
          <w:color w:val="000000"/>
        </w:rPr>
        <w:t>środki z wnioskowanego wsparcia finansowego nie zostały zaplanowane na zakup środków trwałych (tj. produktów o wartości jednostkowej minimum 10 000 zł).</w:t>
      </w:r>
    </w:p>
    <w:p>
      <w:pPr>
        <w:pStyle w:val="Normal"/>
        <w:numPr>
          <w:ilvl w:val="0"/>
          <w:numId w:val="3"/>
        </w:numPr>
        <w:spacing w:lineRule="auto" w:line="240" w:before="0" w:after="240"/>
        <w:ind w:left="284" w:hanging="284"/>
        <w:jc w:val="both"/>
        <w:rPr>
          <w:color w:val="000000"/>
        </w:rPr>
      </w:pPr>
      <w:r>
        <w:rPr>
          <w:color w:val="000000"/>
        </w:rPr>
        <w:t>w ramach składanej oferty nie przewiduje się pobierania opłat od uczestników działań.</w:t>
        <w:br/>
        <w:br/>
        <w:t xml:space="preserve">Wnioski na działania ze sfery pożytku publicznego, które spełnią wszystkie powyższe wymagania formalne, zostaną przekazane do oceny merytorycznej powiatowych komisji grantowych powołanych przez Operatorów Funduszu. W skład Komisji wchodzą przedstawiciele Operatora (osoby nie konsultujące ofert),  lokalne autorytety  i  eksperci,  w  tym  m.in.  doradcy  ds.  NGO  i  trenerzy,  osoby zajmujące się animacją społeczną oraz przedstawiciele podmiotów współfinansujących konkurs. Wnioski ocenione pozytywnie (minimum </w:t>
      </w:r>
      <w:r>
        <w:rPr>
          <w:b/>
          <w:color w:val="000000"/>
        </w:rPr>
        <w:t>50%</w:t>
      </w:r>
      <w:r>
        <w:rPr>
          <w:color w:val="000000"/>
        </w:rPr>
        <w:t xml:space="preserve"> maksymalnej liczby punktów) przejdą do drugiego etapu, który będzie polegał na 5-minutowym spotkaniu komisji z przedstawicielami organizacji lub grupy (forma spotkania do ustalenia z lokalnym Operatorem). Drugi etap będzie przeprowadzony </w:t>
      </w:r>
      <w:r>
        <w:rPr>
          <w:b/>
          <w:color w:val="000000"/>
        </w:rPr>
        <w:t xml:space="preserve">do  </w:t>
      </w:r>
      <w:r>
        <w:rPr>
          <w:b/>
          <w:color w:val="000000"/>
        </w:rPr>
        <w:t xml:space="preserve">10 </w:t>
      </w:r>
      <w:r>
        <w:rPr>
          <w:b/>
        </w:rPr>
        <w:t xml:space="preserve">lipca </w:t>
      </w:r>
      <w:r>
        <w:rPr>
          <w:b/>
          <w:color w:val="000000"/>
        </w:rPr>
        <w:t>2022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>Spotkania on-line komisji nie dotyczą organizacji i grup ubiegających się o dofinansowanie do 1000 zł</w:t>
      </w:r>
      <w:r>
        <w:rPr>
          <w:color w:val="000000"/>
        </w:rPr>
        <w:t>.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>UWAGA:</w:t>
      </w:r>
      <w:r>
        <w:rPr>
          <w:color w:val="000000"/>
        </w:rPr>
        <w:t xml:space="preserve"> Brak spotkania z komisją (w jakiejkolwiek formie) może skutkować nie rekomendowaniem wniosku do dofinansowania!</w:t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color w:val="000000"/>
          <w:u w:val="single"/>
        </w:rPr>
        <w:t>Komisje wybiorą te projekty, które w najwyższym stopniu spełnią następujące kryteria: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color w:val="000000"/>
        </w:rPr>
        <w:t xml:space="preserve">1. Przejrzysty i wyczerpujący opis projektu: 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a) jasno określony/a problem/potrzeba/pomysł,  ważny/a dla społeczności i/lub grupy, </w:t>
        <w:br/>
        <w:t xml:space="preserve">której zaspokojenie służy dobru wspólnemu; (w przypadku projektu na rzecz rozwoju organizacji </w:t>
        <w:br/>
        <w:t>– ważne dla danej organizacji)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b) wyczerpujący opis grup adresatów inicjatywy/ projektu;  (w przypadku projektu na rzecz rozwoju organizacji – wizja rozwoju, zawierająca opis organizacji)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c) dokładny opis atrakcyjnych i adekwatnych do problemu/potrzeb/pomysłu działań projektowych </w:t>
        <w:br/>
        <w:t xml:space="preserve">oraz poprawnie ułożony harmonogram – realność jego realizacji w przewidzianym czasie; </w:t>
        <w:br/>
        <w:t>(w przypadku projektu na rzecz rozwoju organizacji – plan rozwoju organizacji)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d) opisane rezultaty projektu – realne, mierzalne, określone ilościowo – i ich trwałość; (w przypadku projektu na rzecz rozwoju organizacji – czy też przyczynią się do wzmocnienia i rozwoju organizacji)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 xml:space="preserve">2) Zaangażowanie społeczności lokalnej, partnerstwa oraz kontynuacja działań i promocja projektu: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a) informacja o sposobie i skali zaangażowania mieszkańców oraz partnerów formalnych </w:t>
        <w:br/>
        <w:t xml:space="preserve">i nieformalnych (np. innych organizacji, samorządu lokalnego, grup nieformalnych, wolontariuszy/ek),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b) informacja o sposobie promowania projektu (np. plakaty, informacje w lokalnych mediach, portale społecznościowe, itp.) – jeżeli dotyczy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c) informacja o kontynuowaniu działań projektowych i sposobie ich kontynuowania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3) Budżet projektu: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a) realność kosztów i ich zasadność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b) poprawna kalkulacja wydatków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c) dodatkowo zaangażowane zasoby własne i/lub partnerów.</w:t>
      </w:r>
    </w:p>
    <w:p>
      <w:pPr>
        <w:pStyle w:val="Normal"/>
        <w:spacing w:lineRule="auto" w:line="240" w:before="0"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Dodatkowo premiowane będą inicjatywy związane z szeroko rozumianym wsparciem i integracją osób będących ofiarami wojny na terenie Ukrainy</w:t>
      </w:r>
      <w:r>
        <w:rPr>
          <w:color w:val="000000"/>
          <w:sz w:val="20"/>
          <w:szCs w:val="20"/>
          <w:u w:val="single"/>
        </w:rPr>
        <w:t xml:space="preserve">, organizacją i rozwojem wolontariatu oraz </w:t>
      </w:r>
      <w:r>
        <w:rPr>
          <w:color w:val="000000"/>
          <w:u w:val="single"/>
        </w:rPr>
        <w:t xml:space="preserve"> eliminacją negatywnych skutków epidemii koronawirusa.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1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1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b/>
          <w:b/>
          <w:color w:val="000000"/>
        </w:rPr>
      </w:pPr>
      <w:r>
        <w:rPr>
          <w:b/>
          <w:color w:val="000000"/>
        </w:rPr>
        <w:t>Komisje mają prawo przyznać wsparcie w pełnej lub niepełnej kwocie wnioskowanej. Operatorzy Funduszu zgodnie z decyzjami komisji grantowych będą przedstawiać organizacjom i grupom do akceptacji proponowane wartości dofinansowania projektów.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>Decyzje Komisji grantowych są ostateczne i nie ma możliwości odwołania się od ich postanowień!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color w:val="000000"/>
        </w:rPr>
        <w:t>UMOWY Z REALIZATORAMI PROJEKTÓW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 xml:space="preserve">Przyznane dotacje są przekazywane na konto bankowe organizacji po podpisaniu umowy </w:t>
        <w:br/>
        <w:t xml:space="preserve">o dofinansowanie. W przypadku przyznania dofinansowania grupie nieformalnej – występującej </w:t>
        <w:br/>
        <w:t xml:space="preserve">z wnioskiem samodzielnie – kwestie, dotyczące pokrycia kosztów ujętych w budżecie projektu, procedury rozliczania oraz praw własności, będzie regulować umowa o współpracy zawarta pomiędzy właściwym Operatorem a grupą nieformalną. 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 xml:space="preserve">Przed podpisaniem umowy wnioskodawcy posiadający osobowość prawną, którzy otrzymali pozytywną rekomendację komisji grantowych na prośbę Operatorów będą zobowiązani </w:t>
        <w:br/>
        <w:t xml:space="preserve">do przedstawienia do wglądu dokumentu potwierdzającego posiadanie osobowości prawnej </w:t>
        <w:br/>
        <w:t>lub stosownego pełnomocnictwa od organu, któremu podlega, do samodzielnego zaciągania zobowiązań oraz prowadzenia działań zaplanowanych w ramach projektu.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W przypadku, gdy projekt realizowany będzie przez grupę nieformalną pod patronatem organizacji (zgodnie z punktem II podpunkt 2 niniejszego Regulaminu), podpisana zostanie trójstronna umowa dotacji: Operator z podmiotem „udzielającym osobowości prawnej” oraz przedstawicielami grupy nieformalnej.</w:t>
        <w:br/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color w:val="000000"/>
        </w:rPr>
        <w:t>PULA ŚRODKÓW NA DOFINANSOWANIE PROJEKTÓW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/>
        <w:t>Łączna pula przeznaczona na dofinansowanie projektów w dodatkowym konkursie w powiecie lęborskim wynosi co najmniej 5 700 zł.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b/>
          <w:color w:val="000000"/>
        </w:rPr>
        <w:t>V. TERMIN SKŁADANIA WNIOSKÓW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color w:val="000000"/>
        </w:rPr>
        <w:t>Wnioski należy składać poprzez generator on-line dostępny na stronie</w:t>
      </w:r>
      <w:r>
        <w:rPr>
          <w:b/>
          <w:color w:val="000000"/>
        </w:rPr>
        <w:t xml:space="preserve"> </w:t>
      </w:r>
      <w:hyperlink r:id="rId5">
        <w:r>
          <w:rPr>
            <w:b/>
            <w:color w:val="000000"/>
            <w:u w:val="single"/>
          </w:rPr>
          <w:t>www.witkac.pl</w:t>
        </w:r>
      </w:hyperlink>
      <w:r>
        <w:rPr>
          <w:b/>
          <w:color w:val="000000"/>
        </w:rPr>
        <w:t>: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od </w:t>
      </w:r>
      <w:r>
        <w:rPr>
          <w:b/>
          <w:color w:val="000000"/>
        </w:rPr>
        <w:t>10</w:t>
      </w:r>
      <w:r>
        <w:rPr>
          <w:b/>
        </w:rPr>
        <w:t xml:space="preserve"> czerwca</w:t>
      </w:r>
      <w:r>
        <w:rPr>
          <w:b/>
          <w:color w:val="000000"/>
        </w:rPr>
        <w:t xml:space="preserve"> do </w:t>
      </w:r>
      <w:r>
        <w:rPr>
          <w:b/>
          <w:color w:val="000000"/>
        </w:rPr>
        <w:t>2</w:t>
      </w:r>
      <w:r>
        <w:rPr>
          <w:b/>
        </w:rPr>
        <w:t xml:space="preserve"> lipca</w:t>
      </w:r>
      <w:r>
        <w:rPr>
          <w:b/>
          <w:color w:val="000000"/>
        </w:rPr>
        <w:t xml:space="preserve"> 2022 r. – dla inicjatywy lub projektu ze sfery pożytku publicznego 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br/>
        <w:t xml:space="preserve">Ogłoszenie wyników konkursu na dofinansowanie realizacji inicjatyw i projektów ze sfer pożytku publicznego nastąpi do 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 xml:space="preserve"> lipca</w:t>
      </w:r>
      <w:r>
        <w:rPr>
          <w:b/>
          <w:color w:val="000000"/>
        </w:rPr>
        <w:t xml:space="preserve"> 2022 r. 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VI. DODATKOWE INFORMACJE NA TEMAT KONKURSU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 xml:space="preserve">Dodatkowe informacje na temat konkursu można uzyskać w biurach Operatorów Funduszu </w:t>
        <w:br/>
        <w:t>i ich partnerów: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/>
          <w:color w:val="000000"/>
        </w:rPr>
        <w:t>Pomorska Sieć Centrów Organizacji Pozarządowych</w:t>
      </w:r>
    </w:p>
    <w:p>
      <w:pPr>
        <w:pStyle w:val="Normal"/>
        <w:spacing w:lineRule="auto" w:line="240" w:before="0" w:after="12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ul. Jeziorna 2/33, 83-300 Kartuzy, tel. 698 146 654, </w:t>
      </w:r>
      <w:hyperlink r:id="rId6">
        <w:r>
          <w:rPr>
            <w:color w:val="0563C1"/>
            <w:u w:val="single"/>
          </w:rPr>
          <w:t>biuro@cop.pomorskie.pl</w:t>
        </w:r>
      </w:hyperlink>
      <w:r>
        <w:rPr>
          <w:color w:val="000000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color w:val="000000"/>
          <w:shd w:fill="CFE2F3" w:val="clear"/>
        </w:rPr>
      </w:pPr>
      <w:r>
        <w:rPr>
          <w:b/>
          <w:color w:val="000000"/>
          <w:shd w:fill="CFE2F3" w:val="clear"/>
        </w:rPr>
        <w:t>Stowarzyszenie EDUQ</w:t>
      </w:r>
      <w:r>
        <w:rPr>
          <w:color w:val="000000"/>
          <w:shd w:fill="CFE2F3" w:val="clear"/>
        </w:rPr>
        <w:t xml:space="preserve"> – powiat lęborski,</w:t>
      </w:r>
    </w:p>
    <w:p>
      <w:pPr>
        <w:pStyle w:val="Normal"/>
        <w:spacing w:lineRule="auto" w:line="240" w:before="0" w:after="120"/>
        <w:jc w:val="both"/>
        <w:rPr>
          <w:color w:val="000000"/>
          <w:shd w:fill="CFE2F3" w:val="clear"/>
        </w:rPr>
      </w:pPr>
      <w:r>
        <w:rPr>
          <w:color w:val="000000"/>
          <w:shd w:fill="CFE2F3" w:val="clear"/>
        </w:rPr>
        <w:t xml:space="preserve">ul. Krzywoustego 1, 84-300 Lębork, </w:t>
      </w:r>
      <w:hyperlink r:id="rId7">
        <w:r>
          <w:rPr>
            <w:color w:val="000000"/>
            <w:u w:val="single"/>
            <w:shd w:fill="CFE2F3" w:val="clear"/>
          </w:rPr>
          <w:t>eduq.biuro@gmail.com</w:t>
        </w:r>
      </w:hyperlink>
      <w:r>
        <w:rPr>
          <w:color w:val="000000"/>
          <w:shd w:fill="CFE2F3" w:val="clear"/>
        </w:rPr>
        <w:t>, tel. 69 424 29 52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b/>
          <w:color w:val="000000"/>
        </w:rPr>
        <w:t>VII. ZAŁĄCZNIKI DO WNIOSKU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Do wniosku nie są wymagane żadne załączniki! </w:t>
      </w:r>
    </w:p>
    <w:p>
      <w:pPr>
        <w:pStyle w:val="Normal"/>
        <w:spacing w:lineRule="auto" w:line="240" w:before="0" w:after="240"/>
        <w:jc w:val="both"/>
        <w:rPr>
          <w:color w:val="000000"/>
        </w:rPr>
      </w:pPr>
      <w:r>
        <w:rPr>
          <w:color w:val="000000"/>
        </w:rPr>
        <w:t xml:space="preserve">Nie dotyczy to jednak sytuacji, kiedy organizacja lub grupa wnioskuje o dofinansowanie za pomocą krótkiego filmu  – wówczas zamiast wypełniać wszystkie części wniosku załącza maks. 5-minutowy film, w którym zawiera się opis pomysłu-projektu. </w:t>
      </w:r>
    </w:p>
    <w:p>
      <w:pPr>
        <w:pStyle w:val="Normal"/>
        <w:spacing w:lineRule="auto" w:line="240" w:before="0" w:after="0"/>
        <w:jc w:val="left"/>
        <w:rPr>
          <w:color w:val="000000"/>
        </w:rPr>
      </w:pPr>
      <w:r>
        <w:rPr>
          <w:sz w:val="16"/>
          <w:szCs w:val="16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left"/>
        <w:rPr>
          <w:color w:val="000000"/>
        </w:rPr>
      </w:pPr>
      <w:r>
        <w:rPr>
          <w:b/>
          <w:color w:val="000000"/>
        </w:rPr>
        <w:t>VIII. FAQ – ODPOWIEDZI NA NAJCZĘŚCIEJ ZADAWANE PYTANIA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  <w:u w:val="single"/>
        </w:rPr>
        <w:t>FAQ jest uzupełnieniem Regulaminu i stanowi jego integralną część</w:t>
      </w:r>
      <w:r>
        <w:rPr>
          <w:color w:val="000000"/>
        </w:rPr>
        <w:t>!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 xml:space="preserve">Oto lista odpowiedzi na najczęściej zadawane pytania w związku z naborami wniosków </w:t>
        <w:br/>
        <w:t>o dofinansowanie w ramach konkursów grantowych 2022 Funduszu nowy AKUMULATOR SPOŁECZNY:</w:t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b/>
          <w:color w:val="000000"/>
        </w:rPr>
        <w:t>1. Czym jest grupa nieformalna?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 xml:space="preserve">- Grupa nieformalna to minimum 3 osoby realizujące lub chcące realizować wspólnie działania </w:t>
        <w:br/>
        <w:t xml:space="preserve">w sferze pożytku publicznego a nie posiadające osobowości prawnej. Przykładami takich grup są Rady sołeckie, Koła Gospodyń Wiejskich, kółka zainteresowań i drużyny harcerskie. W przypadku grup nieformalnych nie jest wymagane wcześniejsze doświadczenie - grupy mogą się organizować </w:t>
        <w:br/>
        <w:t>na potrzeby realizacji projektu.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>2. Czy wniosek może złożyć grupa młodzieżowa?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- Tak. We wniosku jednak trzeba wskazać pełnoletniego opiekuna/lidera grupy.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>3. O jakie maksymalne dofinansowanie może wnioskować grupa nieformalna?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- Grupy nieformalne, tak jak i młode organizacje, mogą ubiegać się o dofinansowanie do 6 000 zł.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>4. Czy wniosek może złożyć organizacja w trakcie rejestracji?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 xml:space="preserve">- Tak. We wniosku w miejsce numeru KRS należy wpisać zera, jeżeli organizacja nie posiada jeszcze wszystkich danych rejestracyjnych. Jeżeli projekt otrzyma dotację, możliwa będzie ich aktualizacja. </w:t>
        <w:br/>
        <w:t>W przypadku konkursu na rozwój młodych organizacji wnioskodawca może być jedynie zarejestrowany już podmiot!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b/>
          <w:b/>
          <w:color w:val="000000"/>
        </w:rPr>
      </w:pPr>
      <w:r>
        <w:rPr>
          <w:b/>
          <w:color w:val="000000"/>
        </w:rPr>
        <w:t>5. Kiedy Koło Gospodyń Wiejskich jest młodą organizacją pozarządową?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 xml:space="preserve">KGW jest młodą organizacją jeśli jego rejestracja miała miejsce nie dawniej niż 60 miesięcy temu (liczone do dnia złożenia wniosku o dofinansowanie). W przypadku figurowania zarówno w KRS jak </w:t>
        <w:br/>
        <w:t>i   wykazie ARiMR wiążąca jest wcześniejsza data założenia podmiotu, widniejąca w dokumentach sądowych.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>6. Czy grupa nieformalna może złożyć więcej niż jeden wniosek?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 xml:space="preserve">- Nie. Jedna grupa inicjatywna może złożyć maksymalnie jeden wniosek o dofinansowanie w danym 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konkursie grantowym.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>7. Czy organizacja może złożyć więcej niż jeden wniosek?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- Nie. Jedna organizacja może złożyć maksymalnie jeden wniosek o dofinansowanie w danym konkursie grantowym</w:t>
      </w:r>
      <w:r>
        <w:rPr/>
        <w:t xml:space="preserve">. </w:t>
      </w:r>
      <w:r>
        <w:rPr>
          <w:color w:val="000000"/>
        </w:rPr>
        <w:t>Limit ten nie dotyczy sytuacji, kiedy podmiot „udziela osobowości prawnej”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grupie nieformalnej, czyli występuje jako wnioskodawca–patron minimum 3 osób będących pomysłodawcami inicjatywy.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>8. Czy organizacja może występować jako wnioskodawca–patron kilku grup nieformalnych?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- Tak. Organizacja może udzielić wsparcia kilku projektom grup nieformalnych. Jeżeli sytuacja dotyczy młodej organizacji (w rozumieniu Regulaminu), to taki podmiot może ubiegać się o dofinansowanie swojej inicjatywy oraz występować jako wnioskodawca-patron grup/y nieformalnych/ej.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UWAGA: Młoda organizacja pozarządowa wnioskująca o dotację na własny projekt powinna wybrać rodzaj dotacji – czy realizować będzie działania ze sfery pożytku publicznego, czy jednak inwestować będzie we własny rozwój – i adekwatnie do tego odpowiedni formularz aplikacyjny.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b/>
          <w:color w:val="000000"/>
        </w:rPr>
        <w:t>9. Kto może „udzielić osobowości prawnej” grupie nieformalnej, kto może być tzw. patronem?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color w:val="000000"/>
        </w:rPr>
        <w:t xml:space="preserve">- Wnioskodawcą-patronem grup nieformalnych mogą być: organizacje pozarządowe posiadające osobowość prawną lub będące w trakcie procesu rejestracji, z wyłączeniem fundacji skarbu państwa </w:t>
        <w:br/>
        <w:t xml:space="preserve">i ich oddziałów, fundacji utworzonych przez partie polityczne, spółdzielni socjalnych </w:t>
        <w:br/>
        <w:t>i mieszkaniowych, stowarzyszeń samorządów lokalnych, LGD i LGR, LOT oraz związków stowarzyszeń.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>
          <w:b/>
        </w:rPr>
        <w:t>10</w:t>
      </w:r>
      <w:r>
        <w:rPr>
          <w:b/>
          <w:color w:val="000000"/>
        </w:rPr>
        <w:t>. Czym jest drugi etap oceny merytorycznej?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- Drugi etap oceny merytorycznej to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spotkania komisji z przedstawicielami organizacji lub grupy, ubiegającej się o dofinansowanie projektu. We współpracy z lokalnym Operatorem ustalana jest forma kilkuminutowego spotkania. Wnioskodawcy mają wówczas możliwość doprecyzowania swoich pomysłów i odpowiedzenia na ewentualne pytania od oceniających. Po spotkaniach komisja przeprowadza autoweryfikację kart oceny merytorycznej i może zmienić przyznaną wcześniej liczbę punktów. 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</w:rPr>
        <w:t>1</w:t>
      </w:r>
      <w:r>
        <w:rPr>
          <w:b/>
          <w:color w:val="000000"/>
        </w:rPr>
        <w:t>. Czy wnioski należy drukować i przesyłać do Operatorów?</w:t>
      </w:r>
      <w:r>
        <w:rPr/>
        <w:t xml:space="preserve"> 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- Nie. Nabór wniosków odbywa się wyłącznie za pośrednictwem systemu on-line (</w:t>
      </w:r>
      <w:hyperlink r:id="rId8">
        <w:r>
          <w:rPr>
            <w:color w:val="000000"/>
            <w:u w:val="single"/>
          </w:rPr>
          <w:t>www.witkac.pl</w:t>
        </w:r>
      </w:hyperlink>
      <w:r>
        <w:rPr>
          <w:color w:val="000000"/>
        </w:rPr>
        <w:t xml:space="preserve">). Wnioskodawcy wypełniają formularze w generatorze i za jego pośrednictwem składają oferty </w:t>
        <w:br/>
        <w:t>do Operatorów (przycisk „Złóż ofertę”). Jeżeli grupa/organizacja ma problemy z obsługą systemu, komputera czy dostępem do Internetu, zachęcamy do kontaktu z Operatorami, którzy za pośrednictwem animatorów pomogą w wypełnieniu i złożeniu aplikacji. UWAGA: Formularzy nie należy drukować i przesyłać do Operatorów! Jeżeli wniosek otrzyma dofinansowanie, będzie załącznikiem do umowy wsparcia finansowego i razem z nią zostanie podpisany.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60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</w:rPr>
        <w:t>2</w:t>
      </w:r>
      <w:r>
        <w:rPr>
          <w:b/>
          <w:color w:val="000000"/>
        </w:rPr>
        <w:t>. W jakiej formie udzielane jest wsparcie finansowe projektom?</w:t>
      </w:r>
    </w:p>
    <w:p>
      <w:pPr>
        <w:pStyle w:val="Normal"/>
        <w:spacing w:lineRule="auto" w:line="240" w:before="0" w:after="120"/>
        <w:jc w:val="both"/>
        <w:rPr>
          <w:color w:val="000000"/>
        </w:rPr>
      </w:pPr>
      <w:r>
        <w:rPr>
          <w:color w:val="000000"/>
        </w:rPr>
        <w:t>- Wnioski, które zostaną wybrane do wsparcia, otrzymają dofinansowanie przed rozpoczęciem działań.  Z wnioskodawcami zostaną podpisane umowy, na podstawie których Operatorzy przekażą środki na realizację inicjatyw. Grupy i organizacje zobowiązane będą do dokumentowania wydatków w postaci faktur VAT, rachunków do umów o dzieło/zlecenie, umów kupna-sprzedaży, formularzy delegacji itp.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/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/>
      </w:r>
    </w:p>
    <w:p>
      <w:pPr>
        <w:pStyle w:val="Normal"/>
        <w:spacing w:lineRule="auto" w:line="240" w:before="0" w:after="60"/>
        <w:jc w:val="both"/>
        <w:rPr>
          <w:b/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3</w:t>
      </w:r>
      <w:r>
        <w:rPr>
          <w:b/>
          <w:color w:val="000000"/>
        </w:rPr>
        <w:t>. Jak rozliczane są projekty?</w:t>
      </w:r>
    </w:p>
    <w:p>
      <w:pPr>
        <w:pStyle w:val="Normal"/>
        <w:spacing w:lineRule="auto" w:line="240" w:before="0" w:after="240"/>
        <w:jc w:val="both"/>
        <w:rPr>
          <w:color w:val="000000"/>
        </w:rPr>
      </w:pPr>
      <w:r>
        <w:rPr>
          <w:color w:val="000000"/>
        </w:rPr>
        <w:t>- W ciągu 14 dni po zakończeniu projektu każda organizacja lub grupa, która otrzymała dofinansowanie, składa za pośrednictwem systemu on-line (</w:t>
      </w:r>
      <w:hyperlink r:id="rId9">
        <w:r>
          <w:rPr>
            <w:color w:val="000000"/>
            <w:u w:val="single"/>
          </w:rPr>
          <w:t>www.witkac.pl</w:t>
        </w:r>
      </w:hyperlink>
      <w:r>
        <w:rPr>
          <w:color w:val="000000"/>
        </w:rPr>
        <w:t xml:space="preserve">) krótki raport końcowy </w:t>
        <w:br/>
        <w:t>z przeprowadzonych działań i poniesionych wydatków. UWAGA: Dotacja zostanie uznana za rozliczoną, jeżeli działania zostały zrealizowane, a poziom osiągniętych rezultatów wynosi min. 80%.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2">
            <wp:simplePos x="0" y="0"/>
            <wp:positionH relativeFrom="column">
              <wp:posOffset>923925</wp:posOffset>
            </wp:positionH>
            <wp:positionV relativeFrom="paragraph">
              <wp:posOffset>38100</wp:posOffset>
            </wp:positionV>
            <wp:extent cx="3705225" cy="151193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-942340</wp:posOffset>
          </wp:positionH>
          <wp:positionV relativeFrom="paragraph">
            <wp:posOffset>-444500</wp:posOffset>
          </wp:positionV>
          <wp:extent cx="7614920" cy="1041400"/>
          <wp:effectExtent l="0" t="0" r="0" b="0"/>
          <wp:wrapNone/>
          <wp:docPr id="4" name="image3.png" descr="Obraz zawierający tekst, czerwony, różow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Obraz zawierający tekst, czerwony, różow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-895350</wp:posOffset>
          </wp:positionH>
          <wp:positionV relativeFrom="paragraph">
            <wp:posOffset>-409575</wp:posOffset>
          </wp:positionV>
          <wp:extent cx="7534275" cy="1193165"/>
          <wp:effectExtent l="0" t="0" r="0" b="0"/>
          <wp:wrapNone/>
          <wp:docPr id="3" name="image1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9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Calibri" w:hAnsi="Calibri" w:eastAsia="Calibri" w:cs="Calibri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75329"/>
    <w:rPr/>
  </w:style>
  <w:style w:type="character" w:styleId="StopkaZnak" w:customStyle="1">
    <w:name w:val="Stopka Znak"/>
    <w:basedOn w:val="DefaultParagraphFont"/>
    <w:uiPriority w:val="99"/>
    <w:qFormat/>
    <w:rsid w:val="00975329"/>
    <w:rPr/>
  </w:style>
  <w:style w:type="character" w:styleId="Czeinternetowe">
    <w:name w:val="Łącze internetowe"/>
    <w:rsid w:val="00aa7b61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122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75329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75329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qFormat/>
    <w:rsid w:val="00e565f9"/>
    <w:pPr>
      <w:ind w:left="720" w:hanging="0"/>
    </w:pPr>
    <w:rPr>
      <w:rFonts w:ascii="Calibri" w:hAnsi="Calibri" w:eastAsia="Times New Roman" w:cs="Times New Roman"/>
    </w:rPr>
  </w:style>
  <w:style w:type="paragraph" w:styleId="ListParagraph">
    <w:name w:val="List Paragraph"/>
    <w:basedOn w:val="Normal"/>
    <w:uiPriority w:val="34"/>
    <w:qFormat/>
    <w:rsid w:val="00aa7b61"/>
    <w:pPr>
      <w:spacing w:before="0" w:after="160"/>
      <w:ind w:left="720" w:hanging="0"/>
      <w:contextualSpacing/>
    </w:pPr>
    <w:rPr/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witkac.pl/" TargetMode="External"/><Relationship Id="rId4" Type="http://schemas.openxmlformats.org/officeDocument/2006/relationships/hyperlink" Target="http://www.witkac.pl/" TargetMode="External"/><Relationship Id="rId5" Type="http://schemas.openxmlformats.org/officeDocument/2006/relationships/hyperlink" Target="http://www.witkac.pl/" TargetMode="External"/><Relationship Id="rId6" Type="http://schemas.openxmlformats.org/officeDocument/2006/relationships/hyperlink" Target="mailto:biuro@cop.pomorskie.pl" TargetMode="External"/><Relationship Id="rId7" Type="http://schemas.openxmlformats.org/officeDocument/2006/relationships/hyperlink" Target="mailto:eduq.biuro@gmail.com" TargetMode="External"/><Relationship Id="rId8" Type="http://schemas.openxmlformats.org/officeDocument/2006/relationships/hyperlink" Target="http://www.witkac.pl/" TargetMode="External"/><Relationship Id="rId9" Type="http://schemas.openxmlformats.org/officeDocument/2006/relationships/hyperlink" Target="http://www.witkac.pl/" TargetMode="External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9OmXBQvJiVHnooct5I0sdJG0FfA==">AMUW2mW4VKfuq/1bsPcpfQiGSibcfNXVFPNZIB8lqqqZEtt3JwTv3vlNS7+TkqH1m/SseMse8Q5RKB91lyP0KeZjEE7TFxF6UwGqaWBFwjmEmPWzxhNmH7emCKnaC+zAR7CTS3tHJeNnlmHsa0M4HzAfNibckm7t2g==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LibreOffice/7.3.2.2$Windows_X86_64 LibreOffice_project/49f2b1bff42cfccbd8f788c8dc32c1c309559be0</Application>
  <AppVersion>15.0000</AppVersion>
  <Pages>10</Pages>
  <Words>3153</Words>
  <Characters>21156</Characters>
  <CharactersWithSpaces>24337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2022-03-23T12:47:00Z</dcterms:created>
  <dc:creator>Tomasz Keler</dc:creator>
  <dc:description/>
  <dc:language>pl-PL</dc:language>
  <cp:lastModifiedBy/>
  <dcterms:modified xsi:type="dcterms:W3CDTF">2022-06-10T13:48:01Z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